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4816A" w14:textId="77777777" w:rsidR="00182FD8" w:rsidRPr="00E16532" w:rsidRDefault="00851356" w:rsidP="00E16532">
      <w:pPr>
        <w:spacing w:line="360" w:lineRule="auto"/>
        <w:jc w:val="both"/>
        <w:rPr>
          <w:rFonts w:ascii="Times New Roman" w:hAnsi="Times New Roman" w:cs="Times New Roman"/>
          <w:sz w:val="24"/>
          <w:szCs w:val="24"/>
        </w:rPr>
      </w:pPr>
      <w:bookmarkStart w:id="0" w:name="_GoBack"/>
      <w:bookmarkEnd w:id="0"/>
      <w:r w:rsidRPr="00E16532">
        <w:rPr>
          <w:rFonts w:ascii="Times New Roman" w:hAnsi="Times New Roman" w:cs="Times New Roman"/>
          <w:sz w:val="24"/>
          <w:szCs w:val="24"/>
        </w:rPr>
        <w:t>Name of student</w:t>
      </w:r>
    </w:p>
    <w:p w14:paraId="51D597C6" w14:textId="77777777" w:rsidR="00D104E0" w:rsidRPr="00E16532" w:rsidRDefault="00851356" w:rsidP="00E16532">
      <w:pPr>
        <w:spacing w:line="360" w:lineRule="auto"/>
        <w:jc w:val="both"/>
        <w:rPr>
          <w:rFonts w:ascii="Times New Roman" w:hAnsi="Times New Roman" w:cs="Times New Roman"/>
          <w:sz w:val="24"/>
          <w:szCs w:val="24"/>
        </w:rPr>
      </w:pPr>
      <w:r w:rsidRPr="00E16532">
        <w:rPr>
          <w:rFonts w:ascii="Times New Roman" w:hAnsi="Times New Roman" w:cs="Times New Roman"/>
          <w:sz w:val="24"/>
          <w:szCs w:val="24"/>
        </w:rPr>
        <w:t>Name of professor</w:t>
      </w:r>
    </w:p>
    <w:p w14:paraId="0A2C5FB9" w14:textId="77777777" w:rsidR="00D104E0" w:rsidRPr="00E16532" w:rsidRDefault="00851356" w:rsidP="00E16532">
      <w:pPr>
        <w:spacing w:line="360" w:lineRule="auto"/>
        <w:jc w:val="both"/>
        <w:rPr>
          <w:rFonts w:ascii="Times New Roman" w:hAnsi="Times New Roman" w:cs="Times New Roman"/>
          <w:sz w:val="24"/>
          <w:szCs w:val="24"/>
        </w:rPr>
      </w:pPr>
      <w:r w:rsidRPr="00E16532">
        <w:rPr>
          <w:rFonts w:ascii="Times New Roman" w:hAnsi="Times New Roman" w:cs="Times New Roman"/>
          <w:sz w:val="24"/>
          <w:szCs w:val="24"/>
        </w:rPr>
        <w:t>Course name and number</w:t>
      </w:r>
    </w:p>
    <w:p w14:paraId="6360F90C" w14:textId="77777777" w:rsidR="00D104E0" w:rsidRPr="00E16532" w:rsidRDefault="00851356" w:rsidP="00E16532">
      <w:pPr>
        <w:spacing w:line="360" w:lineRule="auto"/>
        <w:jc w:val="both"/>
        <w:rPr>
          <w:rFonts w:ascii="Times New Roman" w:hAnsi="Times New Roman" w:cs="Times New Roman"/>
          <w:sz w:val="24"/>
          <w:szCs w:val="24"/>
        </w:rPr>
      </w:pPr>
      <w:r w:rsidRPr="00E16532">
        <w:rPr>
          <w:rFonts w:ascii="Times New Roman" w:hAnsi="Times New Roman" w:cs="Times New Roman"/>
          <w:sz w:val="24"/>
          <w:szCs w:val="24"/>
        </w:rPr>
        <w:t>Date of submission</w:t>
      </w:r>
    </w:p>
    <w:p w14:paraId="1A3F2E15" w14:textId="77777777" w:rsidR="00E16532" w:rsidRDefault="00851356" w:rsidP="00E16532">
      <w:pPr>
        <w:pStyle w:val="Heading1"/>
        <w:jc w:val="center"/>
        <w:rPr>
          <w:rFonts w:ascii="Times New Roman" w:hAnsi="Times New Roman" w:cs="Times New Roman"/>
          <w:sz w:val="24"/>
          <w:szCs w:val="24"/>
        </w:rPr>
      </w:pPr>
      <w:r w:rsidRPr="00E16532">
        <w:rPr>
          <w:rFonts w:ascii="Times New Roman" w:hAnsi="Times New Roman" w:cs="Times New Roman"/>
          <w:sz w:val="24"/>
          <w:szCs w:val="24"/>
        </w:rPr>
        <w:t>Justice and Religion</w:t>
      </w:r>
    </w:p>
    <w:p w14:paraId="04D7A49D" w14:textId="77777777" w:rsidR="00E16532" w:rsidRPr="00E16532" w:rsidRDefault="00E16532" w:rsidP="00E16532">
      <w:pPr>
        <w:pStyle w:val="NoSpacing"/>
      </w:pPr>
    </w:p>
    <w:p w14:paraId="5FD2CB5D" w14:textId="77777777" w:rsidR="00D104E0" w:rsidRDefault="00851356" w:rsidP="003757F2">
      <w:pPr>
        <w:spacing w:line="360" w:lineRule="auto"/>
        <w:ind w:firstLine="720"/>
        <w:jc w:val="both"/>
        <w:rPr>
          <w:rFonts w:ascii="Times New Roman" w:hAnsi="Times New Roman" w:cs="Times New Roman"/>
          <w:sz w:val="24"/>
          <w:szCs w:val="24"/>
        </w:rPr>
      </w:pPr>
      <w:r w:rsidRPr="00E16532">
        <w:rPr>
          <w:rFonts w:ascii="Times New Roman" w:hAnsi="Times New Roman" w:cs="Times New Roman"/>
          <w:sz w:val="24"/>
          <w:szCs w:val="24"/>
        </w:rPr>
        <w:t xml:space="preserve">From the </w:t>
      </w:r>
      <w:r w:rsidRPr="00E16532">
        <w:rPr>
          <w:rStyle w:val="Emphasis"/>
          <w:rFonts w:ascii="Times New Roman" w:hAnsi="Times New Roman" w:cs="Times New Roman"/>
          <w:sz w:val="24"/>
          <w:szCs w:val="24"/>
        </w:rPr>
        <w:t>Readings in Medieval History: The Church and Society in the Fourteenth and Fifteenth Centuries</w:t>
      </w:r>
      <w:r w:rsidRPr="00E16532">
        <w:rPr>
          <w:rFonts w:ascii="Times New Roman" w:hAnsi="Times New Roman" w:cs="Times New Roman"/>
          <w:sz w:val="24"/>
          <w:szCs w:val="24"/>
        </w:rPr>
        <w:t xml:space="preserve"> by Jacques Fournier, we learn about ecclesiastical jurisprudence as an established regulatory framework </w:t>
      </w:r>
      <w:r w:rsidR="00E16532" w:rsidRPr="00E16532">
        <w:rPr>
          <w:rFonts w:ascii="Times New Roman" w:hAnsi="Times New Roman" w:cs="Times New Roman"/>
          <w:sz w:val="24"/>
          <w:szCs w:val="24"/>
        </w:rPr>
        <w:t>which is crucial in supporting the fight against the heretics in the society in France.  For a significant period of time, there has been a lot of deconstruction in the medieval inquisition especially in the southern France region where the legal functioning of the courts have been jeopardized on the principal basis of the inquisitorial process</w:t>
      </w:r>
      <w:r w:rsidR="000913E1">
        <w:rPr>
          <w:rFonts w:ascii="Times New Roman" w:hAnsi="Times New Roman" w:cs="Times New Roman"/>
          <w:noProof/>
          <w:sz w:val="24"/>
          <w:szCs w:val="24"/>
        </w:rPr>
        <w:t xml:space="preserve"> </w:t>
      </w:r>
      <w:r w:rsidR="000913E1" w:rsidRPr="000913E1">
        <w:rPr>
          <w:rFonts w:ascii="Times New Roman" w:hAnsi="Times New Roman" w:cs="Times New Roman"/>
          <w:noProof/>
          <w:sz w:val="24"/>
          <w:szCs w:val="24"/>
        </w:rPr>
        <w:t>( Geary</w:t>
      </w:r>
      <w:r w:rsidR="000913E1">
        <w:rPr>
          <w:rFonts w:ascii="Times New Roman" w:hAnsi="Times New Roman" w:cs="Times New Roman"/>
          <w:noProof/>
          <w:sz w:val="24"/>
          <w:szCs w:val="24"/>
        </w:rPr>
        <w:t xml:space="preserve"> 189</w:t>
      </w:r>
      <w:r w:rsidR="000913E1" w:rsidRPr="000913E1">
        <w:rPr>
          <w:rFonts w:ascii="Times New Roman" w:hAnsi="Times New Roman" w:cs="Times New Roman"/>
          <w:noProof/>
          <w:sz w:val="24"/>
          <w:szCs w:val="24"/>
        </w:rPr>
        <w:t>)</w:t>
      </w:r>
      <w:r w:rsidR="00E16532" w:rsidRPr="00E16532">
        <w:rPr>
          <w:rFonts w:ascii="Times New Roman" w:hAnsi="Times New Roman" w:cs="Times New Roman"/>
          <w:sz w:val="24"/>
          <w:szCs w:val="24"/>
        </w:rPr>
        <w:t>.  It is however, quite interesting to learn that through proper understanding of the legal application procedure of the legislative process in the courts, aspects such as the application of the rules, the process of reconstruction of organizational courts and the involvement of different relevant authorities can be understood clearly to help in rational decision-making that can be used for guidance in the society as required.</w:t>
      </w:r>
    </w:p>
    <w:p w14:paraId="34D08EB2" w14:textId="77777777" w:rsidR="003757F2" w:rsidRDefault="00851356" w:rsidP="003757F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inquisitorial procedure of the court, according to the Cistercian abbot and Bishop of Pamiers from 1317-26, should entail a co</w:t>
      </w:r>
      <w:r w:rsidR="001F484D">
        <w:rPr>
          <w:rFonts w:ascii="Times New Roman" w:hAnsi="Times New Roman" w:cs="Times New Roman"/>
          <w:sz w:val="24"/>
          <w:szCs w:val="24"/>
        </w:rPr>
        <w:t>mprehensive organization in which the heretics can be identified in distinct and precise stages</w:t>
      </w:r>
      <w:r w:rsidR="00600266">
        <w:rPr>
          <w:rFonts w:ascii="Times New Roman" w:hAnsi="Times New Roman" w:cs="Times New Roman"/>
          <w:noProof/>
          <w:sz w:val="24"/>
          <w:szCs w:val="24"/>
        </w:rPr>
        <w:t xml:space="preserve"> </w:t>
      </w:r>
      <w:r w:rsidR="00600266" w:rsidRPr="00600266">
        <w:rPr>
          <w:rFonts w:ascii="Times New Roman" w:hAnsi="Times New Roman" w:cs="Times New Roman"/>
          <w:noProof/>
          <w:sz w:val="24"/>
          <w:szCs w:val="24"/>
        </w:rPr>
        <w:t>( Geary</w:t>
      </w:r>
      <w:r w:rsidR="00600266">
        <w:rPr>
          <w:rFonts w:ascii="Times New Roman" w:hAnsi="Times New Roman" w:cs="Times New Roman"/>
          <w:noProof/>
          <w:sz w:val="24"/>
          <w:szCs w:val="24"/>
        </w:rPr>
        <w:t xml:space="preserve"> 178</w:t>
      </w:r>
      <w:r w:rsidR="00600266" w:rsidRPr="00600266">
        <w:rPr>
          <w:rFonts w:ascii="Times New Roman" w:hAnsi="Times New Roman" w:cs="Times New Roman"/>
          <w:noProof/>
          <w:sz w:val="24"/>
          <w:szCs w:val="24"/>
        </w:rPr>
        <w:t>)</w:t>
      </w:r>
      <w:r w:rsidR="001F484D">
        <w:rPr>
          <w:rFonts w:ascii="Times New Roman" w:hAnsi="Times New Roman" w:cs="Times New Roman"/>
          <w:sz w:val="24"/>
          <w:szCs w:val="24"/>
        </w:rPr>
        <w:t>. This is not just for the sake of heretic identification but is quite crucial in the definition of modalities of interaction between the courts and other local authorities involved in the judicial systems as well as helping in the restoration of tribunal dimensions in public visibility and the perfection of the population in entirety on matters such as the population justice rituals.  Most judicial systems at this time were not sensitive in issues relating to the right method or procedure of exercising power which included aspects such as marking out the trial and affirming the available authorities. Instead, it involved the elaboration of languages and the production of texts that were established in defined public ceremonies</w:t>
      </w:r>
      <w:r w:rsidR="00AE40D7">
        <w:rPr>
          <w:rFonts w:ascii="Times New Roman" w:hAnsi="Times New Roman" w:cs="Times New Roman"/>
          <w:noProof/>
          <w:sz w:val="24"/>
          <w:szCs w:val="24"/>
        </w:rPr>
        <w:t xml:space="preserve"> </w:t>
      </w:r>
      <w:r w:rsidR="00AE40D7" w:rsidRPr="00AE40D7">
        <w:rPr>
          <w:rFonts w:ascii="Times New Roman" w:hAnsi="Times New Roman" w:cs="Times New Roman"/>
          <w:noProof/>
          <w:sz w:val="24"/>
          <w:szCs w:val="24"/>
        </w:rPr>
        <w:t>(Klapisch-Zuber</w:t>
      </w:r>
      <w:r w:rsidR="00AE40D7">
        <w:rPr>
          <w:rFonts w:ascii="Times New Roman" w:hAnsi="Times New Roman" w:cs="Times New Roman"/>
          <w:noProof/>
          <w:sz w:val="24"/>
          <w:szCs w:val="24"/>
        </w:rPr>
        <w:t xml:space="preserve"> 484</w:t>
      </w:r>
      <w:r w:rsidR="00AE40D7" w:rsidRPr="00AE40D7">
        <w:rPr>
          <w:rFonts w:ascii="Times New Roman" w:hAnsi="Times New Roman" w:cs="Times New Roman"/>
          <w:noProof/>
          <w:sz w:val="24"/>
          <w:szCs w:val="24"/>
        </w:rPr>
        <w:t>)</w:t>
      </w:r>
      <w:r w:rsidR="001F484D">
        <w:rPr>
          <w:rFonts w:ascii="Times New Roman" w:hAnsi="Times New Roman" w:cs="Times New Roman"/>
          <w:sz w:val="24"/>
          <w:szCs w:val="24"/>
        </w:rPr>
        <w:t xml:space="preserve">. This jeopardized justice to the heretics in the sense </w:t>
      </w:r>
      <w:r>
        <w:rPr>
          <w:rFonts w:ascii="Times New Roman" w:hAnsi="Times New Roman" w:cs="Times New Roman"/>
          <w:sz w:val="24"/>
          <w:szCs w:val="24"/>
        </w:rPr>
        <w:t>that the</w:t>
      </w:r>
      <w:r w:rsidR="001F484D">
        <w:rPr>
          <w:rFonts w:ascii="Times New Roman" w:hAnsi="Times New Roman" w:cs="Times New Roman"/>
          <w:sz w:val="24"/>
          <w:szCs w:val="24"/>
        </w:rPr>
        <w:t xml:space="preserve"> procedures used lacked a practical value, a value that could result in the credibility and the legitimacy of the court systems.  </w:t>
      </w:r>
    </w:p>
    <w:p w14:paraId="3FFF0952" w14:textId="77777777" w:rsidR="003757F2" w:rsidRDefault="00851356" w:rsidP="003757F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central issue was the demystification of the relationship between the application of rules and the consolidation of power by the judges and those who had clear and succinct interpretation of the law</w:t>
      </w:r>
      <w:r w:rsidR="00600266">
        <w:rPr>
          <w:rFonts w:ascii="Times New Roman" w:hAnsi="Times New Roman" w:cs="Times New Roman"/>
          <w:noProof/>
          <w:sz w:val="24"/>
          <w:szCs w:val="24"/>
        </w:rPr>
        <w:t xml:space="preserve"> </w:t>
      </w:r>
      <w:r w:rsidR="00600266" w:rsidRPr="00600266">
        <w:rPr>
          <w:rFonts w:ascii="Times New Roman" w:hAnsi="Times New Roman" w:cs="Times New Roman"/>
          <w:noProof/>
          <w:sz w:val="24"/>
          <w:szCs w:val="24"/>
        </w:rPr>
        <w:t>( Geary</w:t>
      </w:r>
      <w:r w:rsidR="00600266">
        <w:rPr>
          <w:rFonts w:ascii="Times New Roman" w:hAnsi="Times New Roman" w:cs="Times New Roman"/>
          <w:noProof/>
          <w:sz w:val="24"/>
          <w:szCs w:val="24"/>
        </w:rPr>
        <w:t xml:space="preserve"> 196</w:t>
      </w:r>
      <w:r w:rsidR="00600266" w:rsidRPr="00600266">
        <w:rPr>
          <w:rFonts w:ascii="Times New Roman" w:hAnsi="Times New Roman" w:cs="Times New Roman"/>
          <w:noProof/>
          <w:sz w:val="24"/>
          <w:szCs w:val="24"/>
        </w:rPr>
        <w:t>)</w:t>
      </w:r>
      <w:r>
        <w:rPr>
          <w:rFonts w:ascii="Times New Roman" w:hAnsi="Times New Roman" w:cs="Times New Roman"/>
          <w:sz w:val="24"/>
          <w:szCs w:val="24"/>
        </w:rPr>
        <w:t xml:space="preserve">. </w:t>
      </w:r>
      <w:r w:rsidR="001F484D">
        <w:rPr>
          <w:rFonts w:ascii="Times New Roman" w:hAnsi="Times New Roman" w:cs="Times New Roman"/>
          <w:sz w:val="24"/>
          <w:szCs w:val="24"/>
        </w:rPr>
        <w:t xml:space="preserve">It was quite cumbersome to isolate </w:t>
      </w:r>
      <w:r>
        <w:rPr>
          <w:rFonts w:ascii="Times New Roman" w:hAnsi="Times New Roman" w:cs="Times New Roman"/>
          <w:sz w:val="24"/>
          <w:szCs w:val="24"/>
        </w:rPr>
        <w:t>this relationship</w:t>
      </w:r>
      <w:r w:rsidR="001F484D">
        <w:rPr>
          <w:rFonts w:ascii="Times New Roman" w:hAnsi="Times New Roman" w:cs="Times New Roman"/>
          <w:sz w:val="24"/>
          <w:szCs w:val="24"/>
        </w:rPr>
        <w:t xml:space="preserve">, </w:t>
      </w:r>
      <w:r>
        <w:rPr>
          <w:rFonts w:ascii="Times New Roman" w:hAnsi="Times New Roman" w:cs="Times New Roman"/>
          <w:sz w:val="24"/>
          <w:szCs w:val="24"/>
        </w:rPr>
        <w:t>and this</w:t>
      </w:r>
      <w:r w:rsidR="001F484D">
        <w:rPr>
          <w:rFonts w:ascii="Times New Roman" w:hAnsi="Times New Roman" w:cs="Times New Roman"/>
          <w:sz w:val="24"/>
          <w:szCs w:val="24"/>
        </w:rPr>
        <w:t xml:space="preserve"> affected the entire process of the administration of justice to the heretics in the society.  Arguably, most of the applied procedures in the courts resulted in the limitation of the </w:t>
      </w:r>
      <w:r>
        <w:rPr>
          <w:rFonts w:ascii="Times New Roman" w:hAnsi="Times New Roman" w:cs="Times New Roman"/>
          <w:sz w:val="24"/>
          <w:szCs w:val="24"/>
        </w:rPr>
        <w:t>powers of</w:t>
      </w:r>
      <w:r w:rsidR="001F484D">
        <w:rPr>
          <w:rFonts w:ascii="Times New Roman" w:hAnsi="Times New Roman" w:cs="Times New Roman"/>
          <w:sz w:val="24"/>
          <w:szCs w:val="24"/>
        </w:rPr>
        <w:t xml:space="preserve"> the judge in the southern regions   and </w:t>
      </w:r>
      <w:r>
        <w:rPr>
          <w:rFonts w:ascii="Times New Roman" w:hAnsi="Times New Roman" w:cs="Times New Roman"/>
          <w:sz w:val="24"/>
          <w:szCs w:val="24"/>
        </w:rPr>
        <w:t>they (the</w:t>
      </w:r>
      <w:r w:rsidR="001F484D">
        <w:rPr>
          <w:rFonts w:ascii="Times New Roman" w:hAnsi="Times New Roman" w:cs="Times New Roman"/>
          <w:sz w:val="24"/>
          <w:szCs w:val="24"/>
        </w:rPr>
        <w:t xml:space="preserve"> judges) became more of </w:t>
      </w:r>
      <w:r>
        <w:rPr>
          <w:rFonts w:ascii="Times New Roman" w:hAnsi="Times New Roman" w:cs="Times New Roman"/>
          <w:sz w:val="24"/>
          <w:szCs w:val="24"/>
        </w:rPr>
        <w:t xml:space="preserve">guarantors to justice at the expense of becoming the standards of margins of flexibility and the personal interpretation of the rules of law as they are applicable in courts and the administration of justice across religious factions in the society. </w:t>
      </w:r>
    </w:p>
    <w:p w14:paraId="361573A5" w14:textId="77777777" w:rsidR="00E16532" w:rsidRDefault="00851356" w:rsidP="003757F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while looking at the functioning of Jacques Fournier, important connections can be observed regarding the legitimacy and the legitimization process which must facilitate the understanding of the interconnection between the power assertion in the society and the courts and the norms and their application in the courts and the community in entirety</w:t>
      </w:r>
      <w:r w:rsidR="00AE40D7">
        <w:rPr>
          <w:rFonts w:ascii="Times New Roman" w:hAnsi="Times New Roman" w:cs="Times New Roman"/>
          <w:noProof/>
          <w:sz w:val="24"/>
          <w:szCs w:val="24"/>
        </w:rPr>
        <w:t xml:space="preserve"> </w:t>
      </w:r>
      <w:r w:rsidR="00AE40D7" w:rsidRPr="00AE40D7">
        <w:rPr>
          <w:rFonts w:ascii="Times New Roman" w:hAnsi="Times New Roman" w:cs="Times New Roman"/>
          <w:noProof/>
          <w:sz w:val="24"/>
          <w:szCs w:val="24"/>
        </w:rPr>
        <w:t>(Klapisch-Zuber</w:t>
      </w:r>
      <w:r w:rsidR="00AE40D7">
        <w:rPr>
          <w:rFonts w:ascii="Times New Roman" w:hAnsi="Times New Roman" w:cs="Times New Roman"/>
          <w:noProof/>
          <w:sz w:val="24"/>
          <w:szCs w:val="24"/>
        </w:rPr>
        <w:t xml:space="preserve"> 485</w:t>
      </w:r>
      <w:r w:rsidR="00AE40D7" w:rsidRPr="00AE40D7">
        <w:rPr>
          <w:rFonts w:ascii="Times New Roman" w:hAnsi="Times New Roman" w:cs="Times New Roman"/>
          <w:noProof/>
          <w:sz w:val="24"/>
          <w:szCs w:val="24"/>
        </w:rPr>
        <w:t>)</w:t>
      </w:r>
      <w:r>
        <w:rPr>
          <w:rFonts w:ascii="Times New Roman" w:hAnsi="Times New Roman" w:cs="Times New Roman"/>
          <w:sz w:val="24"/>
          <w:szCs w:val="24"/>
        </w:rPr>
        <w:t>.  In most instances, the judges and the accused assumes different characteristics at every stage of judicial proceedings, and this should be used as the standard of distinctions in understanding the difference in their roles in establishing credible and trusted judicial functions.</w:t>
      </w:r>
    </w:p>
    <w:p w14:paraId="70024726" w14:textId="77777777" w:rsidR="000913E1" w:rsidRDefault="000913E1" w:rsidP="003757F2">
      <w:pPr>
        <w:spacing w:line="360" w:lineRule="auto"/>
        <w:ind w:firstLine="720"/>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998507159"/>
        <w:docPartObj>
          <w:docPartGallery w:val="Bibliographies"/>
          <w:docPartUnique/>
        </w:docPartObj>
      </w:sdtPr>
      <w:sdtEndPr/>
      <w:sdtContent>
        <w:p w14:paraId="22705E37" w14:textId="77777777" w:rsidR="000913E1" w:rsidRPr="00AE40D7" w:rsidRDefault="00851356" w:rsidP="000913E1">
          <w:pPr>
            <w:pStyle w:val="Heading1"/>
            <w:jc w:val="center"/>
            <w:rPr>
              <w:rFonts w:ascii="Times New Roman" w:hAnsi="Times New Roman" w:cs="Times New Roman"/>
              <w:sz w:val="24"/>
              <w:szCs w:val="24"/>
            </w:rPr>
          </w:pPr>
          <w:r w:rsidRPr="00AE40D7">
            <w:rPr>
              <w:rFonts w:ascii="Times New Roman" w:hAnsi="Times New Roman" w:cs="Times New Roman"/>
              <w:sz w:val="24"/>
              <w:szCs w:val="24"/>
            </w:rPr>
            <w:t>Works Cited</w:t>
          </w:r>
        </w:p>
        <w:p w14:paraId="4BDB1C8D" w14:textId="77777777" w:rsidR="000913E1" w:rsidRPr="00AE40D7" w:rsidRDefault="000913E1" w:rsidP="000913E1">
          <w:pPr>
            <w:rPr>
              <w:rFonts w:ascii="Times New Roman" w:hAnsi="Times New Roman" w:cs="Times New Roman"/>
              <w:sz w:val="24"/>
              <w:szCs w:val="24"/>
            </w:rPr>
          </w:pPr>
        </w:p>
        <w:p w14:paraId="2FE32C62" w14:textId="77777777" w:rsidR="00AE40D7" w:rsidRPr="00AE40D7" w:rsidRDefault="00851356" w:rsidP="00AE40D7">
          <w:pPr>
            <w:pStyle w:val="Bibliography"/>
            <w:ind w:left="720" w:hanging="720"/>
            <w:rPr>
              <w:rFonts w:ascii="Times New Roman" w:hAnsi="Times New Roman" w:cs="Times New Roman"/>
              <w:noProof/>
              <w:sz w:val="24"/>
              <w:szCs w:val="24"/>
            </w:rPr>
          </w:pPr>
          <w:r w:rsidRPr="00AE40D7">
            <w:rPr>
              <w:rFonts w:ascii="Times New Roman" w:hAnsi="Times New Roman" w:cs="Times New Roman"/>
              <w:sz w:val="24"/>
              <w:szCs w:val="24"/>
            </w:rPr>
            <w:fldChar w:fldCharType="begin"/>
          </w:r>
          <w:r w:rsidRPr="00AE40D7">
            <w:rPr>
              <w:rFonts w:ascii="Times New Roman" w:hAnsi="Times New Roman" w:cs="Times New Roman"/>
              <w:sz w:val="24"/>
              <w:szCs w:val="24"/>
            </w:rPr>
            <w:instrText xml:space="preserve"> BIBLIOGRAPHY </w:instrText>
          </w:r>
          <w:r w:rsidRPr="00AE40D7">
            <w:rPr>
              <w:rFonts w:ascii="Times New Roman" w:hAnsi="Times New Roman" w:cs="Times New Roman"/>
              <w:sz w:val="24"/>
              <w:szCs w:val="24"/>
            </w:rPr>
            <w:fldChar w:fldCharType="separate"/>
          </w:r>
          <w:r w:rsidR="00AE40D7" w:rsidRPr="00AE40D7">
            <w:rPr>
              <w:rFonts w:ascii="Times New Roman" w:hAnsi="Times New Roman" w:cs="Times New Roman"/>
              <w:noProof/>
              <w:sz w:val="24"/>
              <w:szCs w:val="24"/>
            </w:rPr>
            <w:t xml:space="preserve">Geary, Patrick J. </w:t>
          </w:r>
          <w:r w:rsidR="00AE40D7" w:rsidRPr="00AE40D7">
            <w:rPr>
              <w:rFonts w:ascii="Times New Roman" w:hAnsi="Times New Roman" w:cs="Times New Roman"/>
              <w:noProof/>
              <w:sz w:val="24"/>
              <w:szCs w:val="24"/>
              <w:u w:val="single"/>
            </w:rPr>
            <w:t>Readings in medieval history</w:t>
          </w:r>
          <w:r w:rsidR="00AE40D7" w:rsidRPr="00AE40D7">
            <w:rPr>
              <w:rFonts w:ascii="Times New Roman" w:hAnsi="Times New Roman" w:cs="Times New Roman"/>
              <w:noProof/>
              <w:sz w:val="24"/>
              <w:szCs w:val="24"/>
            </w:rPr>
            <w:t>. Ontario: North York, Ontario, Canada : University of Toronto, 2016.</w:t>
          </w:r>
        </w:p>
        <w:p w14:paraId="392A794E" w14:textId="77777777" w:rsidR="00AE40D7" w:rsidRPr="00AE40D7" w:rsidRDefault="00AE40D7" w:rsidP="00AE40D7">
          <w:pPr>
            <w:pStyle w:val="Bibliography"/>
            <w:ind w:left="720" w:hanging="720"/>
            <w:rPr>
              <w:rFonts w:ascii="Times New Roman" w:hAnsi="Times New Roman" w:cs="Times New Roman"/>
              <w:noProof/>
              <w:sz w:val="24"/>
              <w:szCs w:val="24"/>
            </w:rPr>
          </w:pPr>
          <w:r w:rsidRPr="00AE40D7">
            <w:rPr>
              <w:rFonts w:ascii="Times New Roman" w:hAnsi="Times New Roman" w:cs="Times New Roman"/>
              <w:noProof/>
              <w:sz w:val="24"/>
              <w:szCs w:val="24"/>
            </w:rPr>
            <w:t xml:space="preserve">Klapisch-Zuber, Christiane. </w:t>
          </w:r>
          <w:r w:rsidRPr="00AE40D7">
            <w:rPr>
              <w:rFonts w:ascii="Times New Roman" w:hAnsi="Times New Roman" w:cs="Times New Roman"/>
              <w:noProof/>
              <w:sz w:val="24"/>
              <w:szCs w:val="24"/>
              <w:u w:val="single"/>
            </w:rPr>
            <w:t>A History of Women in the West:II Silences of the Middle Ages</w:t>
          </w:r>
          <w:r w:rsidRPr="00AE40D7">
            <w:rPr>
              <w:rFonts w:ascii="Times New Roman" w:hAnsi="Times New Roman" w:cs="Times New Roman"/>
              <w:noProof/>
              <w:sz w:val="24"/>
              <w:szCs w:val="24"/>
            </w:rPr>
            <w:t>. Cambridge, Massachussets, London, England.: The Belknap Press of Havard University Press, 1992.</w:t>
          </w:r>
        </w:p>
        <w:p w14:paraId="2D7C66AD" w14:textId="77777777" w:rsidR="000913E1" w:rsidRDefault="00851356" w:rsidP="00AE40D7">
          <w:r w:rsidRPr="00AE40D7">
            <w:rPr>
              <w:rFonts w:ascii="Times New Roman" w:hAnsi="Times New Roman" w:cs="Times New Roman"/>
              <w:b/>
              <w:bCs/>
              <w:sz w:val="24"/>
              <w:szCs w:val="24"/>
            </w:rPr>
            <w:fldChar w:fldCharType="end"/>
          </w:r>
        </w:p>
      </w:sdtContent>
    </w:sdt>
    <w:p w14:paraId="187BBD50" w14:textId="77777777" w:rsidR="00E16532" w:rsidRPr="00E16532" w:rsidRDefault="00E16532" w:rsidP="00E16532">
      <w:pPr>
        <w:spacing w:line="360" w:lineRule="auto"/>
        <w:jc w:val="both"/>
        <w:rPr>
          <w:rFonts w:ascii="Times New Roman" w:hAnsi="Times New Roman" w:cs="Times New Roman"/>
          <w:sz w:val="24"/>
          <w:szCs w:val="24"/>
        </w:rPr>
      </w:pPr>
    </w:p>
    <w:sectPr w:rsidR="00E16532" w:rsidRPr="00E16532">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90D85" w14:textId="77777777" w:rsidR="00C505B9" w:rsidRDefault="00C505B9">
      <w:pPr>
        <w:spacing w:after="0" w:line="240" w:lineRule="auto"/>
      </w:pPr>
      <w:r>
        <w:separator/>
      </w:r>
    </w:p>
  </w:endnote>
  <w:endnote w:type="continuationSeparator" w:id="0">
    <w:p w14:paraId="4C9C8B44" w14:textId="77777777" w:rsidR="00C505B9" w:rsidRDefault="00C50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159AE" w14:textId="77777777" w:rsidR="00C505B9" w:rsidRDefault="00C505B9">
      <w:pPr>
        <w:spacing w:after="0" w:line="240" w:lineRule="auto"/>
      </w:pPr>
      <w:r>
        <w:separator/>
      </w:r>
    </w:p>
  </w:footnote>
  <w:footnote w:type="continuationSeparator" w:id="0">
    <w:p w14:paraId="7F7EFEA6" w14:textId="77777777" w:rsidR="00C505B9" w:rsidRDefault="00C50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64303596"/>
      <w:docPartObj>
        <w:docPartGallery w:val="Page Numbers (Top of Page)"/>
        <w:docPartUnique/>
      </w:docPartObj>
    </w:sdtPr>
    <w:sdtEndPr>
      <w:rPr>
        <w:noProof/>
      </w:rPr>
    </w:sdtEndPr>
    <w:sdtContent>
      <w:p w14:paraId="3AD5C40C" w14:textId="77777777" w:rsidR="007A7C7F" w:rsidRPr="007A7C7F" w:rsidRDefault="00851356" w:rsidP="007A7C7F">
        <w:pPr>
          <w:pStyle w:val="Header"/>
          <w:ind w:firstLine="2880"/>
          <w:jc w:val="right"/>
          <w:rPr>
            <w:rFonts w:ascii="Times New Roman" w:hAnsi="Times New Roman" w:cs="Times New Roman"/>
            <w:sz w:val="24"/>
            <w:szCs w:val="24"/>
          </w:rPr>
        </w:pPr>
        <w:r w:rsidRPr="007A7C7F">
          <w:rPr>
            <w:rFonts w:ascii="Times New Roman" w:hAnsi="Times New Roman" w:cs="Times New Roman"/>
            <w:sz w:val="24"/>
            <w:szCs w:val="24"/>
          </w:rPr>
          <w:t>Surname</w:t>
        </w:r>
        <w:r w:rsidRPr="007A7C7F">
          <w:rPr>
            <w:rFonts w:ascii="Times New Roman" w:hAnsi="Times New Roman" w:cs="Times New Roman"/>
            <w:sz w:val="24"/>
            <w:szCs w:val="24"/>
          </w:rPr>
          <w:tab/>
        </w:r>
        <w:r w:rsidRPr="007A7C7F">
          <w:rPr>
            <w:rFonts w:ascii="Times New Roman" w:hAnsi="Times New Roman" w:cs="Times New Roman"/>
            <w:sz w:val="24"/>
            <w:szCs w:val="24"/>
          </w:rPr>
          <w:fldChar w:fldCharType="begin"/>
        </w:r>
        <w:r w:rsidRPr="007A7C7F">
          <w:rPr>
            <w:rFonts w:ascii="Times New Roman" w:hAnsi="Times New Roman" w:cs="Times New Roman"/>
            <w:sz w:val="24"/>
            <w:szCs w:val="24"/>
          </w:rPr>
          <w:instrText xml:space="preserve"> PAGE   \* MERGEFORMAT </w:instrText>
        </w:r>
        <w:r w:rsidRPr="007A7C7F">
          <w:rPr>
            <w:rFonts w:ascii="Times New Roman" w:hAnsi="Times New Roman" w:cs="Times New Roman"/>
            <w:sz w:val="24"/>
            <w:szCs w:val="24"/>
          </w:rPr>
          <w:fldChar w:fldCharType="separate"/>
        </w:r>
        <w:r w:rsidR="00AE40D7">
          <w:rPr>
            <w:rFonts w:ascii="Times New Roman" w:hAnsi="Times New Roman" w:cs="Times New Roman"/>
            <w:noProof/>
            <w:sz w:val="24"/>
            <w:szCs w:val="24"/>
          </w:rPr>
          <w:t>2</w:t>
        </w:r>
        <w:r w:rsidRPr="007A7C7F">
          <w:rPr>
            <w:rFonts w:ascii="Times New Roman" w:hAnsi="Times New Roman" w:cs="Times New Roman"/>
            <w:noProof/>
            <w:sz w:val="24"/>
            <w:szCs w:val="24"/>
          </w:rPr>
          <w:fldChar w:fldCharType="end"/>
        </w:r>
      </w:p>
    </w:sdtContent>
  </w:sdt>
  <w:p w14:paraId="35CED734" w14:textId="77777777" w:rsidR="007A7C7F" w:rsidRPr="007A7C7F" w:rsidRDefault="007A7C7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M0MDCwMDe2NDU1NbJQ0lEKTi0uzszPAykwrAUAjuhngSwAAAA="/>
  </w:docVars>
  <w:rsids>
    <w:rsidRoot w:val="00D104E0"/>
    <w:rsid w:val="000913E1"/>
    <w:rsid w:val="00182FD8"/>
    <w:rsid w:val="001A1548"/>
    <w:rsid w:val="001F484D"/>
    <w:rsid w:val="003757F2"/>
    <w:rsid w:val="005F79C9"/>
    <w:rsid w:val="00600266"/>
    <w:rsid w:val="006966BA"/>
    <w:rsid w:val="007A7C7F"/>
    <w:rsid w:val="007D2E62"/>
    <w:rsid w:val="007D42FC"/>
    <w:rsid w:val="00851356"/>
    <w:rsid w:val="00AE18DE"/>
    <w:rsid w:val="00AE40D7"/>
    <w:rsid w:val="00C505B9"/>
    <w:rsid w:val="00D104E0"/>
    <w:rsid w:val="00DF4F35"/>
    <w:rsid w:val="00E16532"/>
    <w:rsid w:val="00E72A96"/>
    <w:rsid w:val="00EB0C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5093"/>
  <w15:docId w15:val="{F5ECC418-47B2-4A62-A356-9703C7D9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E165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104E0"/>
    <w:rPr>
      <w:i/>
      <w:iCs/>
    </w:rPr>
  </w:style>
  <w:style w:type="character" w:customStyle="1" w:styleId="Heading1Char">
    <w:name w:val="Heading 1 Char"/>
    <w:basedOn w:val="DefaultParagraphFont"/>
    <w:link w:val="Heading1"/>
    <w:uiPriority w:val="9"/>
    <w:rsid w:val="00E16532"/>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E16532"/>
    <w:pPr>
      <w:spacing w:after="0" w:line="240" w:lineRule="auto"/>
    </w:pPr>
    <w:rPr>
      <w:lang w:val="en-US"/>
    </w:rPr>
  </w:style>
  <w:style w:type="paragraph" w:styleId="Header">
    <w:name w:val="header"/>
    <w:basedOn w:val="Normal"/>
    <w:link w:val="HeaderChar"/>
    <w:uiPriority w:val="99"/>
    <w:unhideWhenUsed/>
    <w:rsid w:val="007A7C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C7F"/>
    <w:rPr>
      <w:lang w:val="en-US"/>
    </w:rPr>
  </w:style>
  <w:style w:type="paragraph" w:styleId="Footer">
    <w:name w:val="footer"/>
    <w:basedOn w:val="Normal"/>
    <w:link w:val="FooterChar"/>
    <w:uiPriority w:val="99"/>
    <w:unhideWhenUsed/>
    <w:rsid w:val="007A7C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C7F"/>
    <w:rPr>
      <w:lang w:val="en-US"/>
    </w:rPr>
  </w:style>
  <w:style w:type="paragraph" w:styleId="BalloonText">
    <w:name w:val="Balloon Text"/>
    <w:basedOn w:val="Normal"/>
    <w:link w:val="BalloonTextChar"/>
    <w:uiPriority w:val="99"/>
    <w:semiHidden/>
    <w:unhideWhenUsed/>
    <w:rsid w:val="006002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266"/>
    <w:rPr>
      <w:rFonts w:ascii="Tahoma" w:hAnsi="Tahoma" w:cs="Tahoma"/>
      <w:sz w:val="16"/>
      <w:szCs w:val="16"/>
      <w:lang w:val="en-US"/>
    </w:rPr>
  </w:style>
  <w:style w:type="paragraph" w:styleId="Bibliography">
    <w:name w:val="Bibliography"/>
    <w:basedOn w:val="Normal"/>
    <w:next w:val="Normal"/>
    <w:uiPriority w:val="37"/>
    <w:unhideWhenUsed/>
    <w:rsid w:val="00091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Gea16</b:Tag>
    <b:SourceType>Book</b:SourceType>
    <b:Guid>{BC83444D-3F63-4EBF-90EE-CFF18D201628}</b:Guid>
    <b:Title>Readings in medieval history</b:Title>
    <b:Year>2016</b:Year>
    <b:City>Ontario</b:City>
    <b:Publisher>North York, Ontario, Canada : University of Toronto</b:Publisher>
    <b:Author>
      <b:Author>
        <b:NameList>
          <b:Person>
            <b:Last> Geary</b:Last>
            <b:Middle>J.</b:Middle>
            <b:First>Patrick </b:First>
          </b:Person>
        </b:NameList>
      </b:Author>
    </b:Author>
    <b:RefOrder>1</b:RefOrder>
  </b:Source>
  <b:Source>
    <b:Tag>Kla92</b:Tag>
    <b:SourceType>Book</b:SourceType>
    <b:Guid>{4A6C495F-A755-4F73-A69B-608869479199}</b:Guid>
    <b:Title>A History of Women in the West:II Silences of the Middle Ages</b:Title>
    <b:Year>1992</b:Year>
    <b:City>Cambridge, Massachussets, London, England.</b:City>
    <b:Publisher>The Belknap Press of Havard University Press</b:Publisher>
    <b:Author>
      <b:Author>
        <b:NameList>
          <b:Person>
            <b:Last>Klapisch-Zuber</b:Last>
            <b:First>Christiane</b:First>
          </b:Person>
        </b:NameList>
      </b:Author>
    </b:Author>
    <b:RefOrder>2</b:RefOrder>
  </b:Source>
</b:Sources>
</file>

<file path=customXml/itemProps1.xml><?xml version="1.0" encoding="utf-8"?>
<ds:datastoreItem xmlns:ds="http://schemas.openxmlformats.org/officeDocument/2006/customXml" ds:itemID="{638CDC03-0EBA-4D75-92BC-DD22BC31E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2019-03-12T21:35:00Z</dcterms:created>
  <dcterms:modified xsi:type="dcterms:W3CDTF">2019-03-12T21:35:00Z</dcterms:modified>
</cp:coreProperties>
</file>